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r>
        <w:rPr>
          <w:rFonts w:hint="eastAsia"/>
          <w:sz w:val="24"/>
        </w:rPr>
        <w:t>下妻小学校及び古島小学校不用物品リユース実施要領</w:t>
      </w:r>
    </w:p>
    <w:p>
      <w:pPr>
        <w:pStyle w:val="0"/>
        <w:jc w:val="right"/>
        <w:rPr>
          <w:rFonts w:hint="default"/>
          <w:sz w:val="22"/>
        </w:rPr>
      </w:pPr>
    </w:p>
    <w:p>
      <w:pPr>
        <w:pStyle w:val="0"/>
        <w:jc w:val="right"/>
        <w:rPr>
          <w:rFonts w:hint="default"/>
          <w:sz w:val="22"/>
        </w:rPr>
      </w:pPr>
    </w:p>
    <w:p>
      <w:pPr>
        <w:pStyle w:val="0"/>
        <w:rPr>
          <w:rFonts w:hint="default"/>
          <w:sz w:val="22"/>
        </w:rPr>
      </w:pPr>
      <w:r>
        <w:rPr>
          <w:rFonts w:hint="eastAsia"/>
          <w:sz w:val="22"/>
        </w:rPr>
        <w:t>１．実施内容</w:t>
      </w:r>
    </w:p>
    <w:p>
      <w:pPr>
        <w:pStyle w:val="0"/>
        <w:ind w:left="489" w:leftChars="181" w:hanging="64" w:hangingChars="26"/>
        <w:rPr>
          <w:rFonts w:hint="default"/>
          <w:sz w:val="22"/>
        </w:rPr>
      </w:pPr>
      <w:r>
        <w:rPr>
          <w:rFonts w:hint="eastAsia"/>
          <w:sz w:val="22"/>
        </w:rPr>
        <w:t>　</w:t>
      </w:r>
      <w:r>
        <w:rPr>
          <w:rFonts w:hint="eastAsia"/>
        </w:rPr>
        <w:t>小学校の閉校に伴い、下妻小学校及び古島小学校で発生する不用物品から再利用できるもの（以下、リユース品という）を無料で引き取り、引き取り後はリユース品として取り扱う。</w:t>
      </w:r>
    </w:p>
    <w:p>
      <w:pPr>
        <w:pStyle w:val="0"/>
        <w:ind w:left="490" w:hanging="490" w:hangingChars="200"/>
        <w:rPr>
          <w:rFonts w:hint="default"/>
          <w:sz w:val="22"/>
        </w:rPr>
      </w:pPr>
    </w:p>
    <w:p>
      <w:pPr>
        <w:pStyle w:val="0"/>
        <w:ind w:left="490" w:hanging="490" w:hangingChars="200"/>
        <w:rPr>
          <w:rFonts w:hint="default"/>
          <w:sz w:val="22"/>
        </w:rPr>
      </w:pPr>
      <w:r>
        <w:rPr>
          <w:rFonts w:hint="eastAsia"/>
          <w:sz w:val="22"/>
        </w:rPr>
        <w:t>２．実施場所</w:t>
      </w:r>
    </w:p>
    <w:p>
      <w:pPr>
        <w:pStyle w:val="0"/>
        <w:ind w:left="0" w:leftChars="0" w:firstLine="735" w:firstLineChars="300"/>
        <w:rPr>
          <w:rFonts w:hint="default"/>
          <w:sz w:val="22"/>
        </w:rPr>
      </w:pPr>
      <w:r>
        <w:rPr>
          <w:rFonts w:hint="eastAsia"/>
          <w:sz w:val="22"/>
        </w:rPr>
        <w:t>下妻小学校（住所：筑後市大字下妻１３１７）</w:t>
      </w:r>
    </w:p>
    <w:p>
      <w:pPr>
        <w:pStyle w:val="0"/>
        <w:ind w:left="0" w:leftChars="0" w:firstLine="735" w:firstLineChars="300"/>
        <w:rPr>
          <w:rFonts w:hint="default"/>
          <w:sz w:val="22"/>
        </w:rPr>
      </w:pPr>
      <w:r>
        <w:rPr>
          <w:rFonts w:hint="eastAsia"/>
          <w:sz w:val="22"/>
        </w:rPr>
        <w:t>古島小学校（住所：筑後市大字古島２３３）</w:t>
      </w:r>
    </w:p>
    <w:p>
      <w:pPr>
        <w:pStyle w:val="0"/>
        <w:rPr>
          <w:rFonts w:hint="default"/>
          <w:sz w:val="22"/>
        </w:rPr>
      </w:pPr>
    </w:p>
    <w:p>
      <w:pPr>
        <w:pStyle w:val="0"/>
        <w:rPr>
          <w:rFonts w:hint="default"/>
          <w:sz w:val="22"/>
        </w:rPr>
      </w:pPr>
      <w:r>
        <w:rPr>
          <w:rFonts w:hint="eastAsia"/>
          <w:sz w:val="22"/>
        </w:rPr>
        <w:t>３．リユース品搬出作業日</w:t>
      </w:r>
    </w:p>
    <w:p>
      <w:pPr>
        <w:pStyle w:val="0"/>
        <w:ind w:left="470" w:leftChars="200" w:firstLine="245" w:firstLineChars="100"/>
        <w:rPr>
          <w:rFonts w:hint="default"/>
          <w:sz w:val="22"/>
        </w:rPr>
      </w:pPr>
      <w:r>
        <w:rPr>
          <w:rFonts w:hint="eastAsia"/>
          <w:sz w:val="22"/>
        </w:rPr>
        <w:t>令和７年１２月１７日（水）～１２月２６日（金）の間で、業者との調整により決定する。</w:t>
      </w:r>
    </w:p>
    <w:p>
      <w:pPr>
        <w:pStyle w:val="0"/>
        <w:ind w:leftChars="0" w:firstLineChars="0"/>
        <w:rPr>
          <w:rFonts w:hint="default"/>
          <w:sz w:val="22"/>
        </w:rPr>
      </w:pPr>
    </w:p>
    <w:p>
      <w:pPr>
        <w:pStyle w:val="0"/>
        <w:rPr>
          <w:rFonts w:hint="default"/>
          <w:sz w:val="22"/>
        </w:rPr>
      </w:pPr>
      <w:r>
        <w:rPr>
          <w:rFonts w:hint="eastAsia"/>
          <w:sz w:val="22"/>
        </w:rPr>
        <w:t>４．作業時間</w:t>
      </w:r>
    </w:p>
    <w:p>
      <w:pPr>
        <w:pStyle w:val="0"/>
        <w:ind w:left="707" w:leftChars="301"/>
        <w:rPr>
          <w:rFonts w:hint="default"/>
          <w:sz w:val="22"/>
        </w:rPr>
      </w:pPr>
      <w:r>
        <w:rPr>
          <w:rFonts w:hint="eastAsia"/>
          <w:sz w:val="22"/>
        </w:rPr>
        <w:t>原則、午前９時から午後５時とする。</w:t>
      </w:r>
    </w:p>
    <w:p>
      <w:pPr>
        <w:pStyle w:val="0"/>
        <w:ind w:left="980" w:hanging="980" w:hangingChars="400"/>
        <w:rPr>
          <w:rFonts w:hint="default"/>
          <w:sz w:val="22"/>
        </w:rPr>
      </w:pPr>
    </w:p>
    <w:p>
      <w:pPr>
        <w:pStyle w:val="0"/>
        <w:ind w:left="980" w:hanging="980" w:hangingChars="400"/>
        <w:rPr>
          <w:rFonts w:hint="default"/>
          <w:sz w:val="22"/>
        </w:rPr>
      </w:pPr>
      <w:r>
        <w:rPr>
          <w:rFonts w:hint="eastAsia"/>
          <w:sz w:val="22"/>
        </w:rPr>
        <w:t>５．対象品目</w:t>
      </w:r>
    </w:p>
    <w:tbl>
      <w:tblPr>
        <w:tblStyle w:val="11"/>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73"/>
        <w:gridCol w:w="3686"/>
      </w:tblGrid>
      <w:tr>
        <w:trPr>
          <w:trHeight w:val="393" w:hRule="atLeast"/>
        </w:trPr>
        <w:tc>
          <w:tcPr>
            <w:tcW w:w="4673" w:type="dxa"/>
            <w:shd w:val="clear" w:color="auto" w:fill="auto"/>
            <w:vAlign w:val="top"/>
          </w:tcPr>
          <w:p>
            <w:pPr>
              <w:pStyle w:val="0"/>
              <w:jc w:val="center"/>
              <w:rPr>
                <w:rFonts w:hint="default" w:ascii="Century" w:hAnsi="Century" w:eastAsia="ＭＳ 明朝"/>
                <w:sz w:val="22"/>
              </w:rPr>
            </w:pPr>
            <w:r>
              <w:rPr>
                <w:rFonts w:hint="eastAsia" w:ascii="Century" w:hAnsi="Century" w:eastAsia="ＭＳ 明朝"/>
                <w:sz w:val="22"/>
              </w:rPr>
              <w:t>リユース品目</w:t>
            </w:r>
          </w:p>
        </w:tc>
        <w:tc>
          <w:tcPr>
            <w:tcW w:w="3686" w:type="dxa"/>
            <w:shd w:val="clear" w:color="auto" w:fill="auto"/>
            <w:vAlign w:val="top"/>
          </w:tcPr>
          <w:p>
            <w:pPr>
              <w:pStyle w:val="0"/>
              <w:jc w:val="center"/>
              <w:rPr>
                <w:rFonts w:hint="default" w:ascii="Century" w:hAnsi="Century" w:eastAsia="ＭＳ 明朝"/>
                <w:sz w:val="22"/>
              </w:rPr>
            </w:pPr>
            <w:r>
              <w:rPr>
                <w:rFonts w:hint="eastAsia" w:ascii="Century" w:hAnsi="Century" w:eastAsia="ＭＳ 明朝"/>
                <w:sz w:val="22"/>
              </w:rPr>
              <w:t>概要</w:t>
            </w:r>
          </w:p>
        </w:tc>
      </w:tr>
      <w:tr>
        <w:trPr/>
        <w:tc>
          <w:tcPr>
            <w:tcW w:w="4673" w:type="dxa"/>
            <w:shd w:val="clear" w:color="auto" w:fill="auto"/>
            <w:vAlign w:val="top"/>
          </w:tcPr>
          <w:p>
            <w:pPr>
              <w:pStyle w:val="0"/>
              <w:rPr>
                <w:rFonts w:hint="default" w:ascii="Century" w:hAnsi="Century" w:eastAsia="ＭＳ 明朝"/>
                <w:sz w:val="22"/>
              </w:rPr>
            </w:pPr>
            <w:r>
              <w:rPr>
                <w:rFonts w:hint="eastAsia" w:ascii="Century" w:hAnsi="Century" w:eastAsia="ＭＳ 明朝"/>
                <w:sz w:val="22"/>
              </w:rPr>
              <w:t>学校用家具（テーブル・教卓・机・椅子・書庫・木製棚・ロッカー・保管庫・靴箱・プリンターラック・シューズロッカー・配膳台・はしご・楽器用戸棚・ハイカウンター等）</w:t>
            </w:r>
          </w:p>
        </w:tc>
        <w:tc>
          <w:tcPr>
            <w:tcW w:w="3686" w:type="dxa"/>
            <w:shd w:val="clear" w:color="auto" w:fill="auto"/>
            <w:vAlign w:val="center"/>
          </w:tcPr>
          <w:p>
            <w:pPr>
              <w:pStyle w:val="0"/>
              <w:jc w:val="left"/>
              <w:rPr>
                <w:rFonts w:hint="default" w:ascii="Century" w:hAnsi="Century" w:eastAsia="ＭＳ 明朝"/>
                <w:sz w:val="22"/>
              </w:rPr>
            </w:pPr>
            <w:r>
              <w:rPr>
                <w:rFonts w:hint="eastAsia" w:ascii="Century" w:hAnsi="Century" w:eastAsia="ＭＳ 明朝"/>
                <w:sz w:val="22"/>
              </w:rPr>
              <w:t>多少の汚れ、傷等がある使用可能なもの</w:t>
            </w:r>
          </w:p>
        </w:tc>
      </w:tr>
      <w:tr>
        <w:trPr>
          <w:trHeight w:val="827" w:hRule="atLeast"/>
        </w:trPr>
        <w:tc>
          <w:tcPr>
            <w:tcW w:w="4673" w:type="dxa"/>
            <w:shd w:val="clear" w:color="auto" w:fill="auto"/>
            <w:vAlign w:val="top"/>
          </w:tcPr>
          <w:p>
            <w:pPr>
              <w:pStyle w:val="0"/>
              <w:rPr>
                <w:rFonts w:hint="default" w:ascii="Century" w:hAnsi="Century" w:eastAsia="ＭＳ 明朝"/>
                <w:sz w:val="22"/>
              </w:rPr>
            </w:pPr>
            <w:r>
              <w:rPr>
                <w:rFonts w:hint="eastAsia" w:ascii="Century" w:hAnsi="Century" w:eastAsia="ＭＳ 明朝"/>
                <w:sz w:val="22"/>
              </w:rPr>
              <w:t>校具（アンプ・トーンチャイム・ステレオ・アコーディオン・デジタルパーカッション・コンパクトディスクプレーヤー・集音マイク・ステレオカセットデッキ・ミシン等）</w:t>
            </w:r>
          </w:p>
        </w:tc>
        <w:tc>
          <w:tcPr>
            <w:tcW w:w="3686" w:type="dxa"/>
            <w:shd w:val="clear" w:color="auto" w:fill="auto"/>
            <w:vAlign w:val="center"/>
          </w:tcPr>
          <w:p>
            <w:pPr>
              <w:pStyle w:val="0"/>
              <w:jc w:val="left"/>
              <w:rPr>
                <w:rFonts w:hint="default" w:ascii="Century" w:hAnsi="Century" w:eastAsia="ＭＳ 明朝"/>
                <w:sz w:val="22"/>
              </w:rPr>
            </w:pPr>
            <w:r>
              <w:rPr>
                <w:rFonts w:hint="eastAsia" w:ascii="Century" w:hAnsi="Century" w:eastAsia="ＭＳ 明朝"/>
                <w:sz w:val="22"/>
              </w:rPr>
              <w:t>多少の汚れ、傷等がある使用可能なもの</w:t>
            </w:r>
          </w:p>
          <w:p>
            <w:pPr>
              <w:pStyle w:val="0"/>
              <w:jc w:val="left"/>
              <w:rPr>
                <w:rFonts w:hint="default" w:ascii="Century" w:hAnsi="Century" w:eastAsia="ＭＳ 明朝"/>
                <w:sz w:val="22"/>
              </w:rPr>
            </w:pPr>
            <w:r>
              <w:rPr>
                <w:rFonts w:hint="eastAsia" w:ascii="Century" w:hAnsi="Century" w:eastAsia="ＭＳ 明朝"/>
                <w:sz w:val="22"/>
              </w:rPr>
              <w:t>製造年は問わない</w:t>
            </w:r>
          </w:p>
        </w:tc>
      </w:tr>
      <w:tr>
        <w:trPr>
          <w:trHeight w:val="807" w:hRule="atLeast"/>
        </w:trPr>
        <w:tc>
          <w:tcPr>
            <w:tcW w:w="4673" w:type="dxa"/>
            <w:shd w:val="clear" w:color="auto" w:fill="auto"/>
            <w:vAlign w:val="top"/>
          </w:tcPr>
          <w:p>
            <w:pPr>
              <w:pStyle w:val="0"/>
              <w:rPr>
                <w:rFonts w:hint="default" w:ascii="Century" w:hAnsi="Century" w:eastAsia="ＭＳ 明朝"/>
                <w:sz w:val="22"/>
              </w:rPr>
            </w:pPr>
            <w:r>
              <w:rPr>
                <w:rFonts w:hint="eastAsia" w:ascii="Century" w:hAnsi="Century" w:eastAsia="ＭＳ 明朝"/>
                <w:sz w:val="22"/>
              </w:rPr>
              <w:t>教具（黒板・ホワイトボード・デジタル教科書・大型キーボード表・逆上がり補助板・世界音楽家肖像画集等）</w:t>
            </w:r>
          </w:p>
        </w:tc>
        <w:tc>
          <w:tcPr>
            <w:tcW w:w="3686" w:type="dxa"/>
            <w:shd w:val="clear" w:color="auto" w:fill="auto"/>
            <w:vAlign w:val="center"/>
          </w:tcPr>
          <w:p>
            <w:pPr>
              <w:pStyle w:val="0"/>
              <w:jc w:val="left"/>
              <w:rPr>
                <w:rFonts w:hint="default" w:ascii="Century" w:hAnsi="Century" w:eastAsia="ＭＳ 明朝"/>
                <w:sz w:val="22"/>
              </w:rPr>
            </w:pPr>
            <w:r>
              <w:rPr>
                <w:rFonts w:hint="eastAsia" w:ascii="Century" w:hAnsi="Century" w:eastAsia="ＭＳ 明朝"/>
                <w:sz w:val="22"/>
              </w:rPr>
              <w:t>ヒビ・割れ・欠けのない使用可能なもの</w:t>
            </w:r>
          </w:p>
        </w:tc>
      </w:tr>
      <w:tr>
        <w:trPr>
          <w:trHeight w:val="792" w:hRule="atLeast"/>
        </w:trPr>
        <w:tc>
          <w:tcPr>
            <w:tcW w:w="4673" w:type="dxa"/>
            <w:shd w:val="clear" w:color="auto" w:fill="auto"/>
            <w:vAlign w:val="top"/>
          </w:tcPr>
          <w:p>
            <w:pPr>
              <w:pStyle w:val="0"/>
              <w:rPr>
                <w:rFonts w:hint="default" w:ascii="Century" w:hAnsi="Century" w:eastAsia="ＭＳ 明朝"/>
                <w:sz w:val="22"/>
              </w:rPr>
            </w:pPr>
            <w:r>
              <w:rPr>
                <w:rFonts w:hint="eastAsia" w:ascii="Century" w:hAnsi="Century" w:eastAsia="ＭＳ 明朝"/>
                <w:sz w:val="22"/>
              </w:rPr>
              <w:t>家電（電気オーブン・テーブルコンロ・液晶モニター・オーブントースター・湯沸し器等）</w:t>
            </w:r>
          </w:p>
        </w:tc>
        <w:tc>
          <w:tcPr>
            <w:tcW w:w="3686" w:type="dxa"/>
            <w:shd w:val="clear" w:color="auto" w:fill="auto"/>
            <w:vAlign w:val="center"/>
          </w:tcPr>
          <w:p>
            <w:pPr>
              <w:pStyle w:val="0"/>
              <w:jc w:val="left"/>
              <w:rPr>
                <w:rFonts w:hint="default" w:ascii="Century" w:hAnsi="Century" w:eastAsia="ＭＳ 明朝"/>
                <w:sz w:val="22"/>
              </w:rPr>
            </w:pPr>
            <w:r>
              <w:rPr>
                <w:rFonts w:hint="eastAsia" w:ascii="Century" w:hAnsi="Century" w:eastAsia="ＭＳ 明朝"/>
                <w:sz w:val="22"/>
              </w:rPr>
              <w:t>製造から５年以内のものとし、電源が入るものとするがその他の動作確認はしない</w:t>
            </w:r>
          </w:p>
        </w:tc>
      </w:tr>
      <w:tr>
        <w:trPr>
          <w:trHeight w:val="351" w:hRule="atLeast"/>
        </w:trPr>
        <w:tc>
          <w:tcPr>
            <w:tcW w:w="4673" w:type="dxa"/>
            <w:shd w:val="clear" w:color="auto" w:fill="auto"/>
            <w:vAlign w:val="center"/>
          </w:tcPr>
          <w:p>
            <w:pPr>
              <w:pStyle w:val="0"/>
              <w:rPr>
                <w:rFonts w:hint="default" w:ascii="Century" w:hAnsi="Century" w:eastAsia="ＭＳ 明朝"/>
                <w:sz w:val="22"/>
              </w:rPr>
            </w:pPr>
            <w:r>
              <w:rPr>
                <w:rFonts w:hint="eastAsia" w:ascii="Century" w:hAnsi="Century" w:eastAsia="ＭＳ 明朝"/>
                <w:sz w:val="22"/>
              </w:rPr>
              <w:t>その他</w:t>
            </w:r>
          </w:p>
        </w:tc>
        <w:tc>
          <w:tcPr>
            <w:tcW w:w="3686" w:type="dxa"/>
            <w:shd w:val="clear" w:color="auto" w:fill="auto"/>
            <w:vAlign w:val="center"/>
          </w:tcPr>
          <w:p>
            <w:pPr>
              <w:pStyle w:val="0"/>
              <w:jc w:val="left"/>
              <w:rPr>
                <w:rFonts w:hint="default" w:ascii="Century" w:hAnsi="Century" w:eastAsia="ＭＳ 明朝"/>
                <w:sz w:val="22"/>
              </w:rPr>
            </w:pPr>
            <w:r>
              <w:rPr>
                <w:rFonts w:hint="eastAsia" w:ascii="Century" w:hAnsi="Century" w:eastAsia="ＭＳ 明朝"/>
                <w:sz w:val="22"/>
              </w:rPr>
              <w:t>再利用できるもの</w:t>
            </w:r>
          </w:p>
        </w:tc>
      </w:tr>
    </w:tbl>
    <w:p>
      <w:pPr>
        <w:pStyle w:val="0"/>
        <w:ind w:left="980" w:hanging="980" w:hangingChars="400"/>
        <w:rPr>
          <w:rFonts w:hint="default"/>
          <w:sz w:val="22"/>
        </w:rPr>
      </w:pPr>
      <w:r>
        <w:rPr>
          <w:rFonts w:hint="eastAsia"/>
          <w:sz w:val="22"/>
        </w:rPr>
        <w:t>　　上記品目のうちリユース可能と判断したものは全て引き取ること。</w:t>
      </w:r>
    </w:p>
    <w:p>
      <w:pPr>
        <w:pStyle w:val="0"/>
        <w:ind w:left="980" w:hanging="980" w:hangingChars="400"/>
        <w:rPr>
          <w:rFonts w:hint="default"/>
          <w:sz w:val="22"/>
        </w:rPr>
      </w:pPr>
    </w:p>
    <w:p>
      <w:pPr>
        <w:pStyle w:val="0"/>
        <w:ind w:left="980" w:hanging="980" w:hangingChars="400"/>
        <w:rPr>
          <w:rFonts w:hint="default"/>
          <w:sz w:val="22"/>
        </w:rPr>
      </w:pPr>
      <w:r>
        <w:rPr>
          <w:rFonts w:hint="eastAsia"/>
          <w:sz w:val="22"/>
        </w:rPr>
        <w:t>６．参加資格</w:t>
      </w:r>
    </w:p>
    <w:p>
      <w:pPr>
        <w:pStyle w:val="0"/>
        <w:ind w:left="470" w:leftChars="200" w:firstLine="245" w:firstLineChars="100"/>
        <w:rPr>
          <w:rFonts w:hint="default"/>
          <w:sz w:val="22"/>
        </w:rPr>
      </w:pPr>
      <w:r>
        <w:rPr>
          <w:rFonts w:hint="eastAsia"/>
          <w:sz w:val="22"/>
        </w:rPr>
        <w:t>上記リユース品目の全部をリユースできる業者で、過去にリユース事業の実績がある業者。</w:t>
      </w:r>
    </w:p>
    <w:p>
      <w:pPr>
        <w:pStyle w:val="0"/>
        <w:rPr>
          <w:rFonts w:hint="default"/>
          <w:sz w:val="22"/>
        </w:rPr>
      </w:pPr>
    </w:p>
    <w:p>
      <w:pPr>
        <w:pStyle w:val="0"/>
        <w:rPr>
          <w:rFonts w:hint="default"/>
          <w:sz w:val="22"/>
        </w:rPr>
      </w:pPr>
    </w:p>
    <w:p>
      <w:pPr>
        <w:pStyle w:val="0"/>
        <w:rPr>
          <w:rFonts w:hint="default"/>
          <w:sz w:val="22"/>
        </w:rPr>
      </w:pPr>
      <w:r>
        <w:rPr>
          <w:rFonts w:hint="eastAsia"/>
          <w:sz w:val="22"/>
        </w:rPr>
        <w:t>７．参加表明</w:t>
      </w:r>
    </w:p>
    <w:p>
      <w:pPr>
        <w:pStyle w:val="0"/>
        <w:ind w:left="470" w:leftChars="200" w:firstLine="245" w:firstLineChars="100"/>
        <w:rPr>
          <w:rFonts w:hint="default"/>
          <w:sz w:val="22"/>
        </w:rPr>
      </w:pPr>
      <w:r>
        <w:rPr>
          <w:rFonts w:hint="eastAsia"/>
          <w:sz w:val="22"/>
        </w:rPr>
        <w:t>本業務を受けることを希望する業者は、令和７年１２月９日（火）１２時までに、参加表明書（別紙１）をリユース事業に係る実績を添えて提出すること。</w:t>
      </w:r>
    </w:p>
    <w:p>
      <w:pPr>
        <w:pStyle w:val="0"/>
        <w:rPr>
          <w:rFonts w:hint="default"/>
          <w:sz w:val="22"/>
        </w:rPr>
      </w:pPr>
    </w:p>
    <w:p>
      <w:pPr>
        <w:pStyle w:val="0"/>
        <w:rPr>
          <w:rFonts w:hint="default"/>
          <w:sz w:val="22"/>
        </w:rPr>
      </w:pPr>
      <w:r>
        <w:rPr>
          <w:rFonts w:hint="eastAsia"/>
          <w:sz w:val="22"/>
        </w:rPr>
        <w:t>８．現場確認</w:t>
      </w:r>
    </w:p>
    <w:p>
      <w:pPr>
        <w:pStyle w:val="0"/>
        <w:ind w:left="470" w:leftChars="200" w:firstLine="245" w:firstLineChars="100"/>
        <w:rPr>
          <w:rFonts w:hint="default"/>
          <w:sz w:val="22"/>
        </w:rPr>
      </w:pPr>
      <w:r>
        <w:rPr>
          <w:rFonts w:hint="eastAsia"/>
          <w:sz w:val="22"/>
        </w:rPr>
        <w:t>引き取り品目及び数量の把握のため、令和７年１２月１１日（木）９時３０分より現場確認を行う。参加表明する業者は必ず参加すること。</w:t>
      </w:r>
    </w:p>
    <w:p>
      <w:pPr>
        <w:pStyle w:val="0"/>
        <w:rPr>
          <w:rFonts w:hint="default"/>
          <w:sz w:val="22"/>
        </w:rPr>
      </w:pPr>
    </w:p>
    <w:p>
      <w:pPr>
        <w:pStyle w:val="0"/>
        <w:rPr>
          <w:rFonts w:hint="default"/>
          <w:sz w:val="22"/>
        </w:rPr>
      </w:pPr>
      <w:r>
        <w:rPr>
          <w:rFonts w:hint="eastAsia"/>
          <w:sz w:val="22"/>
        </w:rPr>
        <w:t>９．引き取り計画書の提出</w:t>
      </w:r>
    </w:p>
    <w:p>
      <w:pPr>
        <w:pStyle w:val="0"/>
        <w:ind w:left="470" w:leftChars="200" w:firstLine="235" w:firstLineChars="100"/>
        <w:rPr>
          <w:rFonts w:hint="default"/>
        </w:rPr>
      </w:pPr>
      <w:r>
        <w:rPr>
          <w:rFonts w:hint="eastAsia"/>
        </w:rPr>
        <w:t>現場確認の結果を踏まえ、</w:t>
      </w:r>
      <w:r>
        <w:rPr>
          <w:rFonts w:hint="eastAsia"/>
          <w:sz w:val="22"/>
        </w:rPr>
        <w:t>引き取り品目及び予想数量を記載した計画書を令和７年１２月１５日（月）までに提出すること。</w:t>
      </w:r>
    </w:p>
    <w:p>
      <w:pPr>
        <w:pStyle w:val="0"/>
        <w:ind w:leftChars="0" w:firstLineChars="0"/>
        <w:rPr>
          <w:rFonts w:hint="default"/>
          <w:sz w:val="22"/>
        </w:rPr>
      </w:pPr>
    </w:p>
    <w:p>
      <w:pPr>
        <w:pStyle w:val="0"/>
        <w:rPr>
          <w:rFonts w:hint="default"/>
          <w:sz w:val="22"/>
        </w:rPr>
      </w:pPr>
      <w:r>
        <w:rPr>
          <w:rFonts w:hint="eastAsia"/>
          <w:sz w:val="22"/>
        </w:rPr>
        <w:t>10</w:t>
      </w:r>
      <w:r>
        <w:rPr>
          <w:rFonts w:hint="eastAsia"/>
          <w:sz w:val="22"/>
        </w:rPr>
        <w:t>．リユース実施業者の選定</w:t>
      </w:r>
    </w:p>
    <w:p>
      <w:pPr>
        <w:pStyle w:val="0"/>
        <w:ind w:left="470" w:leftChars="200" w:firstLine="245" w:firstLineChars="100"/>
        <w:rPr>
          <w:rFonts w:hint="default"/>
          <w:sz w:val="22"/>
        </w:rPr>
      </w:pPr>
      <w:r>
        <w:rPr>
          <w:rFonts w:hint="eastAsia"/>
          <w:sz w:val="22"/>
        </w:rPr>
        <w:t>引き取り計画書およびリユース事業に係る実績を踏まえ、令和７年１２月１６日（火）までにリユース実施業者１社を決定する。</w:t>
      </w:r>
    </w:p>
    <w:p>
      <w:pPr>
        <w:pStyle w:val="0"/>
        <w:ind w:left="566" w:leftChars="241"/>
        <w:rPr>
          <w:rFonts w:hint="default"/>
          <w:sz w:val="22"/>
        </w:rPr>
      </w:pPr>
    </w:p>
    <w:p>
      <w:pPr>
        <w:pStyle w:val="0"/>
        <w:rPr>
          <w:rFonts w:hint="default"/>
          <w:sz w:val="22"/>
        </w:rPr>
      </w:pPr>
      <w:r>
        <w:rPr>
          <w:rFonts w:hint="eastAsia"/>
          <w:sz w:val="22"/>
        </w:rPr>
        <w:t>11</w:t>
      </w:r>
      <w:r>
        <w:rPr>
          <w:rFonts w:hint="eastAsia"/>
          <w:sz w:val="22"/>
        </w:rPr>
        <w:t>．リユース品の搬出</w:t>
      </w:r>
    </w:p>
    <w:p>
      <w:pPr>
        <w:pStyle w:val="0"/>
        <w:ind w:left="470" w:leftChars="200" w:firstLine="235" w:firstLineChars="100"/>
        <w:rPr>
          <w:rFonts w:hint="default"/>
          <w:sz w:val="22"/>
        </w:rPr>
      </w:pPr>
      <w:r>
        <w:rPr>
          <w:rFonts w:hint="eastAsia"/>
        </w:rPr>
        <w:t>下妻小学校及び</w:t>
      </w:r>
      <w:bookmarkStart w:id="0" w:name="_GoBack"/>
      <w:bookmarkEnd w:id="0"/>
      <w:r>
        <w:rPr>
          <w:rFonts w:hint="eastAsia"/>
        </w:rPr>
        <w:t>古島小学校に残る不用物品は、原則、玄関付近に集積する。集積場所からの搬出は業者により実施すること。</w:t>
      </w:r>
    </w:p>
    <w:p>
      <w:pPr>
        <w:pStyle w:val="0"/>
        <w:ind w:left="980" w:hanging="980" w:hangingChars="400"/>
        <w:rPr>
          <w:rFonts w:hint="default"/>
          <w:sz w:val="22"/>
        </w:rPr>
      </w:pPr>
    </w:p>
    <w:p>
      <w:pPr>
        <w:pStyle w:val="0"/>
        <w:ind w:left="980" w:hanging="980" w:hangingChars="400"/>
        <w:rPr>
          <w:rFonts w:hint="default"/>
          <w:sz w:val="22"/>
        </w:rPr>
      </w:pPr>
      <w:r>
        <w:rPr>
          <w:rFonts w:hint="eastAsia"/>
          <w:sz w:val="22"/>
        </w:rPr>
        <w:t>12</w:t>
      </w:r>
      <w:r>
        <w:rPr>
          <w:rFonts w:hint="eastAsia"/>
          <w:sz w:val="22"/>
        </w:rPr>
        <w:t>．引き取り完了届出書の提出</w:t>
      </w:r>
    </w:p>
    <w:p>
      <w:pPr>
        <w:pStyle w:val="0"/>
        <w:ind w:left="470" w:leftChars="200" w:firstLine="245" w:firstLineChars="100"/>
        <w:rPr>
          <w:rFonts w:hint="default"/>
          <w:sz w:val="22"/>
        </w:rPr>
      </w:pPr>
      <w:r>
        <w:rPr>
          <w:rFonts w:hint="eastAsia"/>
          <w:sz w:val="22"/>
        </w:rPr>
        <w:t>リユース品搬出作業終了後に、速やかに引き取った品目及び数量等を記載した引き取り完了届を提出すること。</w:t>
      </w:r>
    </w:p>
    <w:p>
      <w:pPr>
        <w:pStyle w:val="0"/>
        <w:ind w:left="980" w:hanging="980" w:hangingChars="400"/>
        <w:rPr>
          <w:rFonts w:hint="default"/>
          <w:sz w:val="22"/>
        </w:rPr>
      </w:pPr>
    </w:p>
    <w:p>
      <w:pPr>
        <w:pStyle w:val="0"/>
        <w:ind w:left="980" w:hanging="980" w:hangingChars="400"/>
        <w:rPr>
          <w:rFonts w:hint="default"/>
          <w:sz w:val="22"/>
        </w:rPr>
      </w:pPr>
      <w:r>
        <w:rPr>
          <w:rFonts w:hint="eastAsia"/>
          <w:sz w:val="22"/>
        </w:rPr>
        <w:t>13</w:t>
      </w:r>
      <w:r>
        <w:rPr>
          <w:rFonts w:hint="eastAsia"/>
          <w:sz w:val="22"/>
        </w:rPr>
        <w:t>．添付資料</w:t>
      </w:r>
    </w:p>
    <w:p>
      <w:pPr>
        <w:pStyle w:val="0"/>
        <w:ind w:left="950" w:leftChars="300" w:hanging="245" w:hangingChars="100"/>
        <w:rPr>
          <w:rFonts w:hint="default"/>
          <w:sz w:val="22"/>
        </w:rPr>
      </w:pPr>
      <w:r>
        <w:rPr>
          <w:rFonts w:hint="eastAsia"/>
          <w:sz w:val="22"/>
        </w:rPr>
        <w:t>参加表明書（別紙１）</w:t>
      </w:r>
    </w:p>
    <w:p>
      <w:pPr>
        <w:pStyle w:val="0"/>
        <w:ind w:left="980" w:hanging="980" w:hangingChars="400"/>
        <w:rPr>
          <w:rFonts w:hint="default"/>
          <w:sz w:val="22"/>
        </w:rPr>
      </w:pPr>
    </w:p>
    <w:p>
      <w:pPr>
        <w:pStyle w:val="0"/>
        <w:ind w:left="495" w:hanging="495" w:hangingChars="202"/>
        <w:jc w:val="left"/>
        <w:rPr>
          <w:rFonts w:hint="default" w:ascii="ＭＳ Ｐ明朝" w:hAnsi="ＭＳ Ｐ明朝" w:eastAsia="ＭＳ Ｐ明朝"/>
          <w:sz w:val="22"/>
        </w:rPr>
      </w:pPr>
      <w:r>
        <w:rPr>
          <w:rFonts w:hint="eastAsia"/>
          <w:sz w:val="22"/>
        </w:rPr>
        <w:t>14</w:t>
      </w:r>
      <w:r>
        <w:rPr>
          <w:rFonts w:hint="eastAsia"/>
          <w:sz w:val="22"/>
        </w:rPr>
        <w:t>．</w:t>
      </w:r>
      <w:r>
        <w:rPr>
          <w:rFonts w:hint="eastAsia" w:ascii="ＭＳ Ｐ明朝" w:hAnsi="ＭＳ Ｐ明朝" w:eastAsia="ＭＳ Ｐ明朝"/>
          <w:sz w:val="22"/>
        </w:rPr>
        <w:t>担当課</w:t>
      </w:r>
      <w:r>
        <w:rPr>
          <w:rFonts w:hint="eastAsia" w:ascii="ＭＳ Ｐ明朝" w:hAnsi="ＭＳ Ｐ明朝" w:eastAsia="ＭＳ Ｐ明朝"/>
          <w:sz w:val="22"/>
        </w:rPr>
        <w:t xml:space="preserve"> </w:t>
      </w:r>
    </w:p>
    <w:p>
      <w:pPr>
        <w:pStyle w:val="0"/>
        <w:ind w:left="0" w:leftChars="0" w:firstLine="735" w:firstLineChars="300"/>
        <w:rPr>
          <w:rFonts w:hint="default" w:ascii="ＭＳ Ｐ明朝" w:hAnsi="ＭＳ Ｐ明朝" w:eastAsia="ＭＳ Ｐ明朝"/>
          <w:sz w:val="22"/>
        </w:rPr>
      </w:pPr>
      <w:r>
        <w:rPr>
          <w:rFonts w:hint="eastAsia" w:ascii="ＭＳ Ｐ明朝" w:hAnsi="ＭＳ Ｐ明朝" w:eastAsia="ＭＳ Ｐ明朝"/>
          <w:sz w:val="22"/>
        </w:rPr>
        <w:t>筑後市役所　教育部　教育総務課　学校再編担当　</w:t>
      </w:r>
    </w:p>
    <w:p>
      <w:pPr>
        <w:pStyle w:val="0"/>
        <w:ind w:left="0" w:leftChars="0" w:firstLine="735" w:firstLineChars="300"/>
        <w:rPr>
          <w:rFonts w:hint="default" w:ascii="ＭＳ Ｐ明朝" w:hAnsi="ＭＳ Ｐ明朝" w:eastAsia="ＭＳ Ｐ明朝"/>
          <w:sz w:val="22"/>
        </w:rPr>
      </w:pPr>
      <w:r>
        <w:rPr>
          <w:rFonts w:hint="eastAsia" w:ascii="ＭＳ Ｐ明朝" w:hAnsi="ＭＳ Ｐ明朝" w:eastAsia="ＭＳ Ｐ明朝"/>
          <w:sz w:val="22"/>
        </w:rPr>
        <w:t>TEL: 0942-53-4117  FAX: 0942-54-0336</w:t>
      </w:r>
      <w:r>
        <w:rPr>
          <w:rFonts w:hint="eastAsia" w:ascii="ＭＳ Ｐ明朝" w:hAnsi="ＭＳ Ｐ明朝" w:eastAsia="ＭＳ Ｐ明朝"/>
          <w:sz w:val="22"/>
        </w:rPr>
        <w:t>　</w:t>
      </w:r>
    </w:p>
    <w:p>
      <w:pPr>
        <w:pStyle w:val="0"/>
        <w:ind w:left="0" w:leftChars="0" w:firstLine="735" w:firstLineChars="300"/>
        <w:rPr>
          <w:rFonts w:hint="default" w:ascii="ＭＳ Ｐ明朝" w:hAnsi="ＭＳ Ｐ明朝" w:eastAsia="ＭＳ Ｐ明朝"/>
          <w:sz w:val="22"/>
        </w:rPr>
      </w:pPr>
      <w:r>
        <w:rPr>
          <w:rFonts w:hint="eastAsia" w:ascii="ＭＳ Ｐ明朝" w:hAnsi="ＭＳ Ｐ明朝" w:eastAsia="ＭＳ Ｐ明朝"/>
          <w:sz w:val="22"/>
        </w:rPr>
        <w:t xml:space="preserve">E-mail: </w:t>
      </w:r>
      <w:r>
        <w:rPr>
          <w:rFonts w:hint="default" w:ascii="ＭＳ Ｐ明朝" w:hAnsi="ＭＳ Ｐ明朝" w:eastAsia="ＭＳ Ｐ明朝"/>
          <w:sz w:val="22"/>
        </w:rPr>
        <w:t>kyouikusoumu@city.chikugo.lg.jp</w:t>
      </w:r>
    </w:p>
    <w:p>
      <w:pPr>
        <w:pStyle w:val="0"/>
        <w:ind w:left="980" w:hanging="980" w:hangingChars="400"/>
        <w:rPr>
          <w:rFonts w:hint="default"/>
          <w:sz w:val="22"/>
        </w:rPr>
      </w:pPr>
    </w:p>
    <w:sectPr>
      <w:pgMar w:top="1247" w:right="1418" w:bottom="1134" w:left="1418" w:header="720" w:footer="720" w:gutter="0"/>
      <w:cols w:space="720"/>
      <w:noEndnote w:val="1"/>
      <w:textDirection w:val="lrTb"/>
      <w:docGrid w:type="linesAndChars" w:linePitch="286" w:charSpace="51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5"/>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2030</TotalTime>
  <Pages>2</Pages>
  <Words>14</Words>
  <Characters>1251</Characters>
  <Application>JUST Note</Application>
  <Lines>88</Lines>
  <Paragraphs>48</Paragraphs>
  <Company>筑後市</Company>
  <CharactersWithSpaces>1274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学校教育課　高木　正勝</dc:creator>
  <cp:lastModifiedBy>教育総務課　鍋田　宗明</cp:lastModifiedBy>
  <cp:lastPrinted>2025-11-25T02:49:40Z</cp:lastPrinted>
  <dcterms:created xsi:type="dcterms:W3CDTF">2018-04-03T07:18:00Z</dcterms:created>
  <dcterms:modified xsi:type="dcterms:W3CDTF">2024-08-02T02:49:10Z</dcterms:modified>
  <cp:revision>62</cp:revision>
</cp:coreProperties>
</file>